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23 (Supplier-Furnished Terms)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  <w:tab/>
        <w:t xml:space="preserve">Non-COTS Third Party Software</w:t>
      </w:r>
    </w:p>
    <w:p w:rsidR="00000000" w:rsidDel="00000000" w:rsidP="00000000" w:rsidRDefault="00000000" w:rsidRPr="00000000" w14:paraId="00000004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in accordance with Call-Off Schedule 6 Paragraph 9.2.3 are detailed in Annex 1.</w:t>
      </w:r>
    </w:p>
    <w:p w:rsidR="00000000" w:rsidDel="00000000" w:rsidP="00000000" w:rsidRDefault="00000000" w:rsidRPr="00000000" w14:paraId="00000006">
      <w:pPr>
        <w:spacing w:after="0" w:lineRule="auto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</w:t>
        <w:tab/>
        <w:tab/>
        <w:t xml:space="preserve">COTS Software</w:t>
      </w:r>
    </w:p>
    <w:p w:rsidR="00000000" w:rsidDel="00000000" w:rsidP="00000000" w:rsidRDefault="00000000" w:rsidRPr="00000000" w14:paraId="00000008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in accordance with Call-Off Schedule 6 Paragraph 9.3 are detailed in Annex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1C</w:t>
        <w:tab/>
        <w:t xml:space="preserve">Software as a Service (SaaS) Terms</w:t>
      </w:r>
    </w:p>
    <w:p w:rsidR="00000000" w:rsidDel="00000000" w:rsidP="00000000" w:rsidRDefault="00000000" w:rsidRPr="00000000" w14:paraId="0000000C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0E">
      <w:pPr>
        <w:spacing w:after="0" w:lineRule="auto"/>
        <w:ind w:left="720" w:hanging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720" w:hanging="72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1D</w:t>
        <w:tab/>
        <w:tab/>
        <w:t xml:space="preserve">Software Support and/or Maintenance Terms</w:t>
      </w:r>
    </w:p>
    <w:p w:rsidR="00000000" w:rsidDel="00000000" w:rsidP="00000000" w:rsidRDefault="00000000" w:rsidRPr="00000000" w14:paraId="00000010">
      <w:pPr>
        <w:spacing w:after="0" w:lineRule="auto"/>
        <w:ind w:left="720" w:hanging="72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and/or Maintenance services are detailed in Annex 4.</w:t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D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3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8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  <w:tab/>
      <w:t xml:space="preserve">                                           </w:t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Call-Off Schedule 2</w:t>
    </w:r>
    <w:r w:rsidDel="00000000" w:rsidR="00000000" w:rsidRPr="00000000">
      <w:rPr>
        <w:b w:val="1"/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20</w:t>
    </w:r>
    <w:r w:rsidDel="00000000" w:rsidR="00000000" w:rsidRPr="00000000">
      <w:rPr>
        <w:rtl w:val="0"/>
      </w:rPr>
      <w:t xml:space="preserve">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TSOLScheduleAnnexName" w:customStyle="1">
    <w:name w:val="TSOL Schedule Annex Name"/>
    <w:qFormat w:val="1"/>
    <w:pPr>
      <w:spacing w:after="240" w:line="240" w:lineRule="auto"/>
      <w:jc w:val="center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color w:val="00000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 w:val="1"/>
    <w:pPr>
      <w:tabs>
        <w:tab w:val="left" w:pos="709"/>
        <w:tab w:val="left" w:pos="1134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lang w:eastAsia="zh-CN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Revision">
    <w:name w:val="Revision"/>
    <w:hidden w:val="1"/>
    <w:uiPriority w:val="99"/>
    <w:semiHidden w:val="1"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A97B5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bRmlTctbd+jGZJ8Bs08wkUDBvg==">AMUW2mUxU9jDuIxTLiK+kaDSBOrugEXuK8gy1fe4RnGUVsM3P22T5GFdy6dheX3WOFz1jUmKQjUKnlW1o5FyPSChkAjbhz3vVg7KRio33ORifWW8FbIOJSaZJl51et/xL5l1pYj12usz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2020-10-21T15:26:00Z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